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4D383">
      <w:pPr>
        <w:spacing w:line="600" w:lineRule="exact"/>
        <w:jc w:val="center"/>
        <w:rPr>
          <w:rFonts w:hint="eastAsia" w:ascii="方正大标宋简体" w:hAnsi="Times New Roman" w:eastAsia="方正大标宋简体" w:cs="Times New Roman"/>
          <w:sz w:val="44"/>
          <w:szCs w:val="44"/>
          <w:lang w:val="en-US" w:eastAsia="zh-CN"/>
        </w:rPr>
      </w:pPr>
      <w:r>
        <w:rPr>
          <w:rFonts w:hint="eastAsia" w:ascii="方正大标宋简体" w:hAnsi="Times New Roman" w:eastAsia="方正大标宋简体" w:cs="Times New Roman"/>
          <w:sz w:val="44"/>
          <w:szCs w:val="44"/>
          <w:lang w:val="en-US" w:eastAsia="zh-CN"/>
        </w:rPr>
        <w:t>启东市关于向中度以上失能老年人发放养老服务消费补贴项目老年人能力评估机构征集结果的公示</w:t>
      </w:r>
    </w:p>
    <w:p w14:paraId="165ACCC1">
      <w:pPr>
        <w:spacing w:line="600" w:lineRule="exact"/>
        <w:jc w:val="both"/>
        <w:rPr>
          <w:rFonts w:hint="eastAsia" w:ascii="方正大标宋简体" w:hAnsi="Times New Roman" w:eastAsia="方正大标宋简体" w:cs="Times New Roman"/>
          <w:sz w:val="44"/>
          <w:szCs w:val="44"/>
          <w:lang w:val="en-US" w:eastAsia="zh-CN"/>
        </w:rPr>
      </w:pPr>
    </w:p>
    <w:p w14:paraId="15C7558E">
      <w:pPr>
        <w:keepNext w:val="0"/>
        <w:keepLines w:val="0"/>
        <w:widowControl/>
        <w:suppressLineNumbers w:val="0"/>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根据江苏省民政厅 江苏省财政厅 江苏省医疗保障局《关于实施向中度以上失能老年人发放养老服务消费补贴项目的通知》，启东市开展了向中度以上失能老年人发放养老服务消费补贴项目老年人能力评估机构公开征集遴选工作。经机构申报、材料审核等环节，现将拟入选的评估机构名单公示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5"/>
        <w:gridCol w:w="6050"/>
        <w:gridCol w:w="1367"/>
      </w:tblGrid>
      <w:tr w14:paraId="06AA1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42608711">
            <w:pPr>
              <w:keepNext w:val="0"/>
              <w:keepLines w:val="0"/>
              <w:widowControl/>
              <w:suppressLineNumbers w:val="0"/>
              <w:jc w:val="center"/>
              <w:rPr>
                <w:rFonts w:hint="eastAsia" w:asciiTheme="majorEastAsia" w:hAnsiTheme="majorEastAsia" w:eastAsiaTheme="majorEastAsia" w:cstheme="majorEastAsia"/>
                <w:b/>
                <w:bCs/>
                <w:sz w:val="28"/>
                <w:szCs w:val="28"/>
                <w:vertAlign w:val="baseline"/>
                <w:lang w:val="en-US" w:eastAsia="zh-CN"/>
              </w:rPr>
            </w:pPr>
            <w:r>
              <w:rPr>
                <w:rFonts w:hint="eastAsia" w:asciiTheme="majorEastAsia" w:hAnsiTheme="majorEastAsia" w:eastAsiaTheme="majorEastAsia" w:cstheme="majorEastAsia"/>
                <w:b/>
                <w:bCs/>
                <w:sz w:val="28"/>
                <w:szCs w:val="28"/>
                <w:vertAlign w:val="baseline"/>
                <w:lang w:val="en-US" w:eastAsia="zh-CN"/>
              </w:rPr>
              <w:t>序号</w:t>
            </w:r>
          </w:p>
        </w:tc>
        <w:tc>
          <w:tcPr>
            <w:tcW w:w="6050" w:type="dxa"/>
            <w:vAlign w:val="center"/>
          </w:tcPr>
          <w:p w14:paraId="6DC48536">
            <w:pPr>
              <w:keepNext w:val="0"/>
              <w:keepLines w:val="0"/>
              <w:widowControl/>
              <w:suppressLineNumbers w:val="0"/>
              <w:jc w:val="center"/>
              <w:rPr>
                <w:rFonts w:hint="eastAsia" w:asciiTheme="majorEastAsia" w:hAnsiTheme="majorEastAsia" w:eastAsiaTheme="majorEastAsia" w:cstheme="majorEastAsia"/>
                <w:b/>
                <w:bCs/>
                <w:sz w:val="28"/>
                <w:szCs w:val="28"/>
                <w:vertAlign w:val="baseline"/>
                <w:lang w:val="en-US" w:eastAsia="zh-CN"/>
              </w:rPr>
            </w:pPr>
            <w:r>
              <w:rPr>
                <w:rFonts w:hint="eastAsia" w:asciiTheme="majorEastAsia" w:hAnsiTheme="majorEastAsia" w:eastAsiaTheme="majorEastAsia" w:cstheme="majorEastAsia"/>
                <w:b/>
                <w:bCs/>
                <w:sz w:val="28"/>
                <w:szCs w:val="28"/>
                <w:vertAlign w:val="baseline"/>
                <w:lang w:val="en-US" w:eastAsia="zh-CN"/>
              </w:rPr>
              <w:t>机构名称</w:t>
            </w:r>
          </w:p>
        </w:tc>
        <w:tc>
          <w:tcPr>
            <w:tcW w:w="1367" w:type="dxa"/>
            <w:vAlign w:val="center"/>
          </w:tcPr>
          <w:p w14:paraId="5FBFD2C1">
            <w:pPr>
              <w:keepNext w:val="0"/>
              <w:keepLines w:val="0"/>
              <w:widowControl/>
              <w:suppressLineNumbers w:val="0"/>
              <w:jc w:val="center"/>
              <w:rPr>
                <w:rFonts w:hint="eastAsia" w:asciiTheme="majorEastAsia" w:hAnsiTheme="majorEastAsia" w:eastAsiaTheme="majorEastAsia" w:cstheme="majorEastAsia"/>
                <w:b/>
                <w:bCs/>
                <w:sz w:val="28"/>
                <w:szCs w:val="28"/>
                <w:vertAlign w:val="baseline"/>
                <w:lang w:val="en-US" w:eastAsia="zh-CN"/>
              </w:rPr>
            </w:pPr>
            <w:r>
              <w:rPr>
                <w:rFonts w:hint="eastAsia" w:asciiTheme="majorEastAsia" w:hAnsiTheme="majorEastAsia" w:eastAsiaTheme="majorEastAsia" w:cstheme="majorEastAsia"/>
                <w:b/>
                <w:bCs/>
                <w:sz w:val="28"/>
                <w:szCs w:val="28"/>
                <w:vertAlign w:val="baseline"/>
                <w:lang w:val="en-US" w:eastAsia="zh-CN"/>
              </w:rPr>
              <w:t>机构类别</w:t>
            </w:r>
          </w:p>
        </w:tc>
      </w:tr>
      <w:tr w14:paraId="6B4F0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567C3CC2">
            <w:pPr>
              <w:keepNext w:val="0"/>
              <w:keepLines w:val="0"/>
              <w:widowControl/>
              <w:suppressLineNumbers w:val="0"/>
              <w:jc w:val="center"/>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1</w:t>
            </w:r>
          </w:p>
        </w:tc>
        <w:tc>
          <w:tcPr>
            <w:tcW w:w="6050" w:type="dxa"/>
            <w:vAlign w:val="center"/>
          </w:tcPr>
          <w:p w14:paraId="0B8874B8">
            <w:pPr>
              <w:keepNext w:val="0"/>
              <w:keepLines w:val="0"/>
              <w:pageBreakBefore w:val="0"/>
              <w:widowControl w:val="0"/>
              <w:numPr>
                <w:numId w:val="0"/>
              </w:numPr>
              <w:kinsoku/>
              <w:wordWrap/>
              <w:overflowPunct/>
              <w:topLinePunct w:val="0"/>
              <w:autoSpaceDE/>
              <w:autoSpaceDN/>
              <w:bidi w:val="0"/>
              <w:adjustRightInd/>
              <w:snapToGrid/>
              <w:spacing w:line="440" w:lineRule="exact"/>
              <w:jc w:val="both"/>
              <w:textAlignment w:val="auto"/>
              <w:rPr>
                <w:rFonts w:hint="default" w:asciiTheme="minorEastAsia" w:hAnsiTheme="minorEastAsia" w:eastAsiaTheme="minorEastAsia" w:cstheme="minorEastAsia"/>
                <w:sz w:val="28"/>
                <w:szCs w:val="28"/>
                <w:vertAlign w:val="baseline"/>
                <w:lang w:val="en-US" w:eastAsia="zh-CN"/>
              </w:rPr>
            </w:pPr>
            <w:r>
              <w:rPr>
                <w:rFonts w:hint="eastAsia" w:ascii="宋体" w:hAnsi="宋体" w:cs="宋体"/>
                <w:b w:val="0"/>
                <w:bCs w:val="0"/>
                <w:sz w:val="28"/>
                <w:szCs w:val="28"/>
                <w:highlight w:val="none"/>
                <w:lang w:val="en-US" w:eastAsia="zh-CN"/>
              </w:rPr>
              <w:t>南通市崇川区启睿职业技能培训学校有限公司</w:t>
            </w:r>
          </w:p>
        </w:tc>
        <w:tc>
          <w:tcPr>
            <w:tcW w:w="1367" w:type="dxa"/>
            <w:vAlign w:val="center"/>
          </w:tcPr>
          <w:p w14:paraId="485C2B41">
            <w:pPr>
              <w:keepNext w:val="0"/>
              <w:keepLines w:val="0"/>
              <w:widowControl/>
              <w:suppressLineNumbers w:val="0"/>
              <w:jc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评估机构</w:t>
            </w:r>
          </w:p>
        </w:tc>
      </w:tr>
      <w:tr w14:paraId="64F49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5E157652">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ajorEastAsia" w:hAnsiTheme="majorEastAsia" w:eastAsiaTheme="majorEastAsia" w:cstheme="majorEastAsia"/>
                <w:sz w:val="28"/>
                <w:szCs w:val="28"/>
                <w:vertAlign w:val="baseline"/>
                <w:lang w:val="en-US" w:eastAsia="zh-CN"/>
              </w:rPr>
              <w:t>2</w:t>
            </w:r>
          </w:p>
        </w:tc>
        <w:tc>
          <w:tcPr>
            <w:tcW w:w="6050" w:type="dxa"/>
            <w:vAlign w:val="center"/>
          </w:tcPr>
          <w:p w14:paraId="4F014ABE">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宋体" w:hAnsi="宋体" w:cs="宋体"/>
                <w:b w:val="0"/>
                <w:bCs w:val="0"/>
                <w:sz w:val="28"/>
                <w:szCs w:val="28"/>
                <w:highlight w:val="none"/>
                <w:lang w:val="en-US" w:eastAsia="zh-CN"/>
              </w:rPr>
              <w:t>南通国和鉴定评估有限公司</w:t>
            </w:r>
          </w:p>
        </w:tc>
        <w:tc>
          <w:tcPr>
            <w:tcW w:w="1367" w:type="dxa"/>
            <w:vAlign w:val="center"/>
          </w:tcPr>
          <w:p w14:paraId="14111D5A">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评估机构</w:t>
            </w:r>
          </w:p>
        </w:tc>
      </w:tr>
      <w:tr w14:paraId="6C0E4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3FFCCC8F">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ajorEastAsia" w:hAnsiTheme="majorEastAsia" w:eastAsiaTheme="majorEastAsia" w:cstheme="majorEastAsia"/>
                <w:sz w:val="28"/>
                <w:szCs w:val="28"/>
                <w:vertAlign w:val="baseline"/>
                <w:lang w:val="en-US" w:eastAsia="zh-CN"/>
              </w:rPr>
              <w:t>3</w:t>
            </w:r>
          </w:p>
        </w:tc>
        <w:tc>
          <w:tcPr>
            <w:tcW w:w="6050" w:type="dxa"/>
            <w:vAlign w:val="center"/>
          </w:tcPr>
          <w:p w14:paraId="14DEBA22">
            <w:pPr>
              <w:keepNext w:val="0"/>
              <w:keepLines w:val="0"/>
              <w:pageBreakBefore w:val="0"/>
              <w:widowControl w:val="0"/>
              <w:numPr>
                <w:numId w:val="0"/>
              </w:numPr>
              <w:kinsoku/>
              <w:wordWrap/>
              <w:overflowPunct/>
              <w:topLinePunct w:val="0"/>
              <w:autoSpaceDE/>
              <w:autoSpaceDN/>
              <w:bidi w:val="0"/>
              <w:adjustRightInd/>
              <w:snapToGrid/>
              <w:spacing w:line="440" w:lineRule="exact"/>
              <w:jc w:val="center"/>
              <w:textAlignment w:val="auto"/>
              <w:rPr>
                <w:rFonts w:hint="eastAsia" w:asciiTheme="majorEastAsia" w:hAnsiTheme="majorEastAsia" w:eastAsiaTheme="majorEastAsia" w:cstheme="majorEastAsia"/>
                <w:sz w:val="28"/>
                <w:szCs w:val="28"/>
                <w:vertAlign w:val="baseline"/>
                <w:lang w:val="en-US" w:eastAsia="zh-CN"/>
              </w:rPr>
            </w:pPr>
            <w:r>
              <w:rPr>
                <w:rFonts w:hint="eastAsia" w:ascii="宋体" w:hAnsi="宋体" w:cs="宋体"/>
                <w:b w:val="0"/>
                <w:bCs w:val="0"/>
                <w:sz w:val="28"/>
                <w:szCs w:val="28"/>
                <w:highlight w:val="none"/>
                <w:lang w:val="en-US" w:eastAsia="zh-CN"/>
              </w:rPr>
              <w:t>南通优居益佰养老管理有限公司</w:t>
            </w:r>
          </w:p>
        </w:tc>
        <w:tc>
          <w:tcPr>
            <w:tcW w:w="1367" w:type="dxa"/>
            <w:vAlign w:val="center"/>
          </w:tcPr>
          <w:p w14:paraId="323F86C0">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评估机构</w:t>
            </w:r>
          </w:p>
        </w:tc>
      </w:tr>
      <w:tr w14:paraId="722BA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75A09E74">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ajorEastAsia" w:hAnsiTheme="majorEastAsia" w:eastAsiaTheme="majorEastAsia" w:cstheme="majorEastAsia"/>
                <w:sz w:val="28"/>
                <w:szCs w:val="28"/>
                <w:vertAlign w:val="baseline"/>
                <w:lang w:val="en-US" w:eastAsia="zh-CN"/>
              </w:rPr>
              <w:t>4</w:t>
            </w:r>
          </w:p>
        </w:tc>
        <w:tc>
          <w:tcPr>
            <w:tcW w:w="6050" w:type="dxa"/>
            <w:vAlign w:val="center"/>
          </w:tcPr>
          <w:p w14:paraId="64814759">
            <w:pPr>
              <w:keepNext w:val="0"/>
              <w:keepLines w:val="0"/>
              <w:pageBreakBefore w:val="0"/>
              <w:widowControl w:val="0"/>
              <w:numPr>
                <w:numId w:val="0"/>
              </w:numPr>
              <w:kinsoku/>
              <w:wordWrap/>
              <w:overflowPunct/>
              <w:topLinePunct w:val="0"/>
              <w:autoSpaceDE/>
              <w:autoSpaceDN/>
              <w:bidi w:val="0"/>
              <w:adjustRightInd/>
              <w:snapToGrid/>
              <w:spacing w:line="440" w:lineRule="exact"/>
              <w:jc w:val="center"/>
              <w:textAlignment w:val="auto"/>
              <w:rPr>
                <w:rFonts w:hint="eastAsia" w:asciiTheme="majorEastAsia" w:hAnsiTheme="majorEastAsia" w:eastAsiaTheme="majorEastAsia" w:cstheme="majorEastAsia"/>
                <w:sz w:val="28"/>
                <w:szCs w:val="28"/>
                <w:vertAlign w:val="baseline"/>
                <w:lang w:val="en-US" w:eastAsia="zh-CN"/>
              </w:rPr>
            </w:pPr>
            <w:r>
              <w:rPr>
                <w:rFonts w:hint="eastAsia" w:ascii="宋体" w:hAnsi="宋体" w:cs="宋体"/>
                <w:b w:val="0"/>
                <w:bCs w:val="0"/>
                <w:sz w:val="28"/>
                <w:szCs w:val="28"/>
                <w:highlight w:val="none"/>
                <w:lang w:val="en-US" w:eastAsia="zh-CN"/>
              </w:rPr>
              <w:t>南京善安普健康产业有限公司</w:t>
            </w:r>
          </w:p>
        </w:tc>
        <w:tc>
          <w:tcPr>
            <w:tcW w:w="1367" w:type="dxa"/>
            <w:vAlign w:val="center"/>
          </w:tcPr>
          <w:p w14:paraId="0E09D84F">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评估机构</w:t>
            </w:r>
          </w:p>
        </w:tc>
      </w:tr>
      <w:tr w14:paraId="06A24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4D81F3C4">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ajorEastAsia" w:hAnsiTheme="majorEastAsia" w:eastAsiaTheme="majorEastAsia" w:cstheme="majorEastAsia"/>
                <w:sz w:val="28"/>
                <w:szCs w:val="28"/>
                <w:vertAlign w:val="baseline"/>
                <w:lang w:val="en-US" w:eastAsia="zh-CN"/>
              </w:rPr>
              <w:t>5</w:t>
            </w:r>
          </w:p>
        </w:tc>
        <w:tc>
          <w:tcPr>
            <w:tcW w:w="6050" w:type="dxa"/>
            <w:vAlign w:val="center"/>
          </w:tcPr>
          <w:p w14:paraId="1CA7DA0E">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宋体" w:hAnsi="宋体" w:cs="宋体"/>
                <w:b w:val="0"/>
                <w:bCs w:val="0"/>
                <w:sz w:val="28"/>
                <w:szCs w:val="28"/>
                <w:highlight w:val="none"/>
                <w:lang w:val="en-US" w:eastAsia="zh-CN"/>
              </w:rPr>
              <w:t>康乃馨幸福（南京）科技有限公司</w:t>
            </w:r>
          </w:p>
        </w:tc>
        <w:tc>
          <w:tcPr>
            <w:tcW w:w="1367" w:type="dxa"/>
            <w:vAlign w:val="center"/>
          </w:tcPr>
          <w:p w14:paraId="312D3968">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评估机构</w:t>
            </w:r>
          </w:p>
        </w:tc>
      </w:tr>
      <w:tr w14:paraId="54B4A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2EFB2A6F">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ajorEastAsia" w:hAnsiTheme="majorEastAsia" w:eastAsiaTheme="majorEastAsia" w:cstheme="majorEastAsia"/>
                <w:sz w:val="28"/>
                <w:szCs w:val="28"/>
                <w:vertAlign w:val="baseline"/>
                <w:lang w:val="en-US" w:eastAsia="zh-CN"/>
              </w:rPr>
              <w:t>6</w:t>
            </w:r>
          </w:p>
        </w:tc>
        <w:tc>
          <w:tcPr>
            <w:tcW w:w="6050" w:type="dxa"/>
            <w:vAlign w:val="center"/>
          </w:tcPr>
          <w:p w14:paraId="3D88F8D4">
            <w:pPr>
              <w:keepNext w:val="0"/>
              <w:keepLines w:val="0"/>
              <w:pageBreakBefore w:val="0"/>
              <w:widowControl w:val="0"/>
              <w:numPr>
                <w:numId w:val="0"/>
              </w:numPr>
              <w:kinsoku/>
              <w:wordWrap/>
              <w:overflowPunct/>
              <w:topLinePunct w:val="0"/>
              <w:autoSpaceDE/>
              <w:autoSpaceDN/>
              <w:bidi w:val="0"/>
              <w:adjustRightInd/>
              <w:snapToGrid/>
              <w:spacing w:line="440" w:lineRule="exact"/>
              <w:jc w:val="center"/>
              <w:textAlignment w:val="auto"/>
              <w:rPr>
                <w:rFonts w:hint="eastAsia" w:asciiTheme="majorEastAsia" w:hAnsiTheme="majorEastAsia" w:eastAsiaTheme="majorEastAsia" w:cstheme="majorEastAsia"/>
                <w:sz w:val="28"/>
                <w:szCs w:val="28"/>
                <w:vertAlign w:val="baseline"/>
                <w:lang w:val="en-US" w:eastAsia="zh-CN"/>
              </w:rPr>
            </w:pPr>
            <w:r>
              <w:rPr>
                <w:rFonts w:hint="eastAsia" w:ascii="宋体" w:hAnsi="宋体" w:cs="宋体"/>
                <w:b w:val="0"/>
                <w:bCs w:val="0"/>
                <w:sz w:val="28"/>
                <w:szCs w:val="28"/>
                <w:highlight w:val="none"/>
                <w:lang w:val="en-US" w:eastAsia="zh-CN"/>
              </w:rPr>
              <w:t>泽楷养老服务（南通）有限公司</w:t>
            </w:r>
          </w:p>
        </w:tc>
        <w:tc>
          <w:tcPr>
            <w:tcW w:w="1367" w:type="dxa"/>
            <w:vAlign w:val="center"/>
          </w:tcPr>
          <w:p w14:paraId="06DD66F0">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评估机构</w:t>
            </w:r>
          </w:p>
        </w:tc>
      </w:tr>
      <w:tr w14:paraId="1511E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01993BB1">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ajorEastAsia" w:hAnsiTheme="majorEastAsia" w:eastAsiaTheme="majorEastAsia" w:cstheme="majorEastAsia"/>
                <w:sz w:val="28"/>
                <w:szCs w:val="28"/>
                <w:vertAlign w:val="baseline"/>
                <w:lang w:val="en-US" w:eastAsia="zh-CN"/>
              </w:rPr>
              <w:t>7</w:t>
            </w:r>
          </w:p>
        </w:tc>
        <w:tc>
          <w:tcPr>
            <w:tcW w:w="6050" w:type="dxa"/>
            <w:vAlign w:val="center"/>
          </w:tcPr>
          <w:p w14:paraId="1BFA1A8D">
            <w:pPr>
              <w:keepNext w:val="0"/>
              <w:keepLines w:val="0"/>
              <w:pageBreakBefore w:val="0"/>
              <w:widowControl w:val="0"/>
              <w:numPr>
                <w:numId w:val="0"/>
              </w:numPr>
              <w:kinsoku/>
              <w:wordWrap/>
              <w:overflowPunct/>
              <w:topLinePunct w:val="0"/>
              <w:autoSpaceDE/>
              <w:autoSpaceDN/>
              <w:bidi w:val="0"/>
              <w:adjustRightInd/>
              <w:snapToGrid/>
              <w:spacing w:line="440" w:lineRule="exact"/>
              <w:jc w:val="center"/>
              <w:textAlignment w:val="auto"/>
              <w:rPr>
                <w:rFonts w:hint="eastAsia" w:asciiTheme="majorEastAsia" w:hAnsiTheme="majorEastAsia" w:eastAsiaTheme="majorEastAsia" w:cstheme="majorEastAsia"/>
                <w:sz w:val="28"/>
                <w:szCs w:val="28"/>
                <w:vertAlign w:val="baseline"/>
                <w:lang w:val="en-US" w:eastAsia="zh-CN"/>
              </w:rPr>
            </w:pPr>
            <w:r>
              <w:rPr>
                <w:rFonts w:hint="eastAsia" w:ascii="宋体" w:hAnsi="宋体" w:cs="宋体"/>
                <w:b w:val="0"/>
                <w:bCs w:val="0"/>
                <w:sz w:val="28"/>
                <w:szCs w:val="28"/>
                <w:highlight w:val="none"/>
                <w:lang w:val="en-US" w:eastAsia="zh-CN"/>
              </w:rPr>
              <w:t>启东市慕狮职业技能培训学校有限公司</w:t>
            </w:r>
          </w:p>
        </w:tc>
        <w:tc>
          <w:tcPr>
            <w:tcW w:w="1367" w:type="dxa"/>
            <w:vAlign w:val="center"/>
          </w:tcPr>
          <w:p w14:paraId="41A2811A">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评估机构</w:t>
            </w:r>
          </w:p>
        </w:tc>
      </w:tr>
      <w:tr w14:paraId="62E2D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vAlign w:val="center"/>
          </w:tcPr>
          <w:p w14:paraId="13B7AC63">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ajorEastAsia" w:hAnsiTheme="majorEastAsia" w:eastAsiaTheme="majorEastAsia" w:cstheme="majorEastAsia"/>
                <w:sz w:val="28"/>
                <w:szCs w:val="28"/>
                <w:vertAlign w:val="baseline"/>
                <w:lang w:val="en-US" w:eastAsia="zh-CN"/>
              </w:rPr>
              <w:t>8</w:t>
            </w:r>
          </w:p>
        </w:tc>
        <w:tc>
          <w:tcPr>
            <w:tcW w:w="6050" w:type="dxa"/>
            <w:vAlign w:val="center"/>
          </w:tcPr>
          <w:p w14:paraId="4091D241">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宋体" w:hAnsi="宋体" w:cs="宋体"/>
                <w:b w:val="0"/>
                <w:bCs w:val="0"/>
                <w:sz w:val="28"/>
                <w:szCs w:val="28"/>
                <w:highlight w:val="none"/>
                <w:lang w:val="en-US" w:eastAsia="zh-CN"/>
              </w:rPr>
              <w:t>苏州微玄信息科技有限公司</w:t>
            </w:r>
          </w:p>
        </w:tc>
        <w:tc>
          <w:tcPr>
            <w:tcW w:w="1367" w:type="dxa"/>
            <w:vAlign w:val="center"/>
          </w:tcPr>
          <w:p w14:paraId="5CA80D3A">
            <w:pPr>
              <w:keepNext w:val="0"/>
              <w:keepLines w:val="0"/>
              <w:widowControl/>
              <w:suppressLineNumbers w:val="0"/>
              <w:jc w:val="center"/>
              <w:rPr>
                <w:rFonts w:hint="eastAsia" w:asciiTheme="majorEastAsia" w:hAnsiTheme="majorEastAsia" w:eastAsiaTheme="majorEastAsia" w:cstheme="maj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评估机构</w:t>
            </w:r>
          </w:p>
        </w:tc>
      </w:tr>
    </w:tbl>
    <w:p w14:paraId="3648E286">
      <w:pPr>
        <w:keepNext w:val="0"/>
        <w:keepLines w:val="0"/>
        <w:widowControl/>
        <w:suppressLineNumbers w:val="0"/>
        <w:ind w:firstLine="640" w:firstLineChars="200"/>
        <w:jc w:val="left"/>
        <w:rPr>
          <w:rFonts w:hint="eastAsia" w:ascii="方正大标宋简体" w:hAnsi="Times New Roman" w:eastAsia="方正大标宋简体" w:cs="Times New Roman"/>
          <w:sz w:val="44"/>
          <w:szCs w:val="44"/>
          <w:lang w:val="en-US" w:eastAsia="zh-CN"/>
        </w:rPr>
      </w:pPr>
      <w:r>
        <w:rPr>
          <w:rFonts w:hint="eastAsia" w:ascii="仿宋" w:hAnsi="仿宋" w:eastAsia="仿宋" w:cs="仿宋"/>
          <w:sz w:val="32"/>
          <w:szCs w:val="32"/>
          <w:lang w:val="en-US" w:eastAsia="zh-CN"/>
        </w:rPr>
        <w:t>公示时间为2026年2月4日-2026年2月5日。对公示机构如有异议，请于公示期间与启东市民政局联系。联系电话：0513-68263930。</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大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MmZmNTA5MTA2ZTE5OTRhYTFlMmM2OThiOTkxMmIifQ=="/>
  </w:docVars>
  <w:rsids>
    <w:rsidRoot w:val="42C15EDC"/>
    <w:rsid w:val="308D5EB4"/>
    <w:rsid w:val="42C15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2026-02-04T08:00:00Z</dcterms:created>
  <dc:creator>青青</dc:creator>
  <cp:lastModifiedBy>青青</cp:lastModifiedBy>
  <dcterms:modified xsi:type="dcterms:W3CDTF">2026-02-04T08:09:36Z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B3F4965329B049219D448DF82087B229_11</vt:lpwstr>
  </property>
</Properties>
</file>